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BA62" w14:textId="77777777" w:rsidR="00533144" w:rsidRPr="00533144" w:rsidRDefault="00533144" w:rsidP="00533144">
      <w:pPr>
        <w:spacing w:before="60" w:after="60" w:line="240" w:lineRule="auto"/>
        <w:contextualSpacing/>
        <w:jc w:val="both"/>
        <w:outlineLvl w:val="0"/>
        <w:rPr>
          <w:rFonts w:eastAsia="Calibri" w:cs="Times New Roman"/>
          <w:b/>
          <w:kern w:val="0"/>
          <w:sz w:val="24"/>
          <w:szCs w:val="24"/>
          <w14:ligatures w14:val="none"/>
        </w:rPr>
      </w:pPr>
      <w:bookmarkStart w:id="0" w:name="_Toc144988674"/>
      <w:bookmarkStart w:id="1" w:name="_Toc146805193"/>
      <w:r w:rsidRPr="00533144">
        <w:rPr>
          <w:rFonts w:eastAsia="Calibri" w:cs="Times New Roman"/>
          <w:b/>
          <w:kern w:val="0"/>
          <w:sz w:val="24"/>
          <w:szCs w:val="24"/>
          <w14:ligatures w14:val="none"/>
        </w:rPr>
        <w:t>AN TOÀN SINH HỌC TRONG NUÔI TRỒNG THUỶ SẢN</w:t>
      </w:r>
      <w:bookmarkEnd w:id="0"/>
      <w:bookmarkEnd w:id="1"/>
    </w:p>
    <w:p w14:paraId="476610F3" w14:textId="77777777" w:rsidR="00533144" w:rsidRPr="00533144" w:rsidRDefault="00533144" w:rsidP="00533144">
      <w:pPr>
        <w:tabs>
          <w:tab w:val="left" w:pos="567"/>
        </w:tabs>
        <w:spacing w:before="60" w:after="60" w:line="240" w:lineRule="auto"/>
        <w:jc w:val="both"/>
        <w:rPr>
          <w:rFonts w:eastAsia="Calibri" w:cs="Times New Roman"/>
          <w:kern w:val="0"/>
          <w:sz w:val="28"/>
          <w:szCs w:val="28"/>
          <w14:ligatures w14:val="none"/>
        </w:rPr>
      </w:pPr>
      <w:r w:rsidRPr="00533144">
        <w:rPr>
          <w:rFonts w:eastAsia="Calibri" w:cs="Times New Roman"/>
          <w:kern w:val="0"/>
          <w:sz w:val="28"/>
          <w:szCs w:val="28"/>
          <w14:ligatures w14:val="none"/>
        </w:rPr>
        <w:t>toàn bộ các hoạt động quản lý và biện pháp kỹ thuật được thực hiện bởi sơ cở nuôi trồng thủy sản nhằm đảm bảo động vật thủy sản được khỏe mạnh và không bị dịch bệnh trong suốt quá trình ương, nuôi trước nguy cơ xâm nhập và lây lan của tác nhân gây bệnh. Nói cách khác, an toàn sinh học bao gồm các biện pháp nhằm: 1) ngăn chặn và kiểm soát các mối nguy đưa tác nhân gây bệnh từ bên ngoài vào trang trại nuôi trồng thủy sản; 2) ngăn chặn và kiểm soát các mối nguy gây bùng phát và lây lan bệnh bên trong trang trại; 3) ngăn ngừa các mối nguy đưa tác nhân gây bệnh từ trang trại ra môi trường xung quanh.</w:t>
      </w:r>
    </w:p>
    <w:p w14:paraId="31A521D4"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kern w:val="0"/>
          <w:sz w:val="28"/>
          <w:szCs w:val="28"/>
          <w14:ligatures w14:val="none"/>
        </w:rPr>
        <w:t xml:space="preserve">Đối với trang trại nuôi trồng thủy sản, nhiều mối nguy cần được kiểm soát trong quá trình ương, nuôi như: nguồn giống; nguồn nước lấy vào và thải ra; nguồn thức ăn; dụng cụ đánh bắt và cho ăn; thiết bị vận chuyển động vật thủy sản và thức ăn ra vào trang trại; nguồn thải; con người và mối nguy tồn tại sẵn trong trang trại sau mỗi vụ nuôi (Hình 1). </w:t>
      </w:r>
    </w:p>
    <w:p w14:paraId="270F9CE8"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kern w:val="0"/>
          <w:sz w:val="28"/>
          <w:szCs w:val="28"/>
          <w14:ligatures w14:val="none"/>
        </w:rPr>
        <w:tab/>
      </w:r>
    </w:p>
    <w:p w14:paraId="1D03306C" w14:textId="77777777" w:rsidR="00533144" w:rsidRPr="00533144" w:rsidRDefault="00533144" w:rsidP="00533144">
      <w:pPr>
        <w:spacing w:before="60" w:after="60" w:line="240" w:lineRule="auto"/>
        <w:jc w:val="both"/>
        <w:rPr>
          <w:rFonts w:eastAsia="Calibri" w:cs="Times New Roman"/>
          <w:kern w:val="0"/>
          <w:sz w:val="28"/>
          <w:szCs w:val="28"/>
          <w14:ligatures w14:val="none"/>
        </w:rPr>
      </w:pPr>
      <w:r w:rsidRPr="00533144">
        <w:rPr>
          <w:rFonts w:eastAsia="Calibri" w:cs="Times New Roman"/>
          <w:noProof/>
          <w:kern w:val="0"/>
          <w:sz w:val="28"/>
          <w:szCs w:val="28"/>
          <w14:ligatures w14:val="none"/>
        </w:rPr>
        <w:drawing>
          <wp:inline distT="0" distB="0" distL="0" distR="0" wp14:anchorId="5EE34659" wp14:editId="500EB360">
            <wp:extent cx="6432540" cy="4438650"/>
            <wp:effectExtent l="0" t="0" r="6985" b="0"/>
            <wp:docPr id="1888" name="Picture 4">
              <a:extLst xmlns:a="http://schemas.openxmlformats.org/drawingml/2006/main">
                <a:ext uri="{FF2B5EF4-FFF2-40B4-BE49-F238E27FC236}">
                  <a16:creationId xmlns:a16="http://schemas.microsoft.com/office/drawing/2014/main" id="{385B2C5D-1BAA-406A-837E-0E378DCCE8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85B2C5D-1BAA-406A-837E-0E378DCCE814}"/>
                        </a:ext>
                      </a:extLst>
                    </pic:cNvPr>
                    <pic:cNvPicPr>
                      <a:picLocks noChangeAspect="1"/>
                    </pic:cNvPicPr>
                  </pic:nvPicPr>
                  <pic:blipFill>
                    <a:blip r:embed="rId5"/>
                    <a:stretch>
                      <a:fillRect/>
                    </a:stretch>
                  </pic:blipFill>
                  <pic:spPr>
                    <a:xfrm>
                      <a:off x="0" y="0"/>
                      <a:ext cx="6459890" cy="4457523"/>
                    </a:xfrm>
                    <a:prstGeom prst="rect">
                      <a:avLst/>
                    </a:prstGeom>
                  </pic:spPr>
                </pic:pic>
              </a:graphicData>
            </a:graphic>
          </wp:inline>
        </w:drawing>
      </w:r>
    </w:p>
    <w:p w14:paraId="1E65654B" w14:textId="77777777" w:rsidR="00533144" w:rsidRPr="00533144" w:rsidRDefault="00533144" w:rsidP="00533144">
      <w:pPr>
        <w:spacing w:before="60" w:after="60" w:line="240" w:lineRule="auto"/>
        <w:ind w:firstLine="720"/>
        <w:jc w:val="both"/>
        <w:rPr>
          <w:rFonts w:eastAsia="Calibri" w:cs="Times New Roman"/>
          <w:kern w:val="0"/>
          <w:sz w:val="24"/>
          <w:szCs w:val="24"/>
          <w14:ligatures w14:val="none"/>
        </w:rPr>
      </w:pPr>
      <w:r w:rsidRPr="00533144">
        <w:rPr>
          <w:rFonts w:eastAsia="Calibri" w:cs="Times New Roman"/>
          <w:kern w:val="0"/>
          <w:sz w:val="24"/>
          <w:szCs w:val="24"/>
          <w14:ligatures w14:val="none"/>
        </w:rPr>
        <w:t>Hình 1: Các mối nguy cần kiểm soát ATSH đối với trang trại nuôi trồng thủy sản</w:t>
      </w:r>
    </w:p>
    <w:p w14:paraId="32EBC1B8"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kern w:val="0"/>
          <w:sz w:val="28"/>
          <w:szCs w:val="28"/>
          <w14:ligatures w14:val="none"/>
        </w:rPr>
        <w:t>Một kế hoạch an toàn sinh học tốt phải đảm bảo ngăn chặn được các mối nguy từ bên ngoài trang trại, ngăn ngừa sự bùng phát và lây lan bệnh bên trong trang trại. Cụ thể, ATSHTNTTS cần phải quản lý, kiểm soát các mối nguy qua:</w:t>
      </w:r>
    </w:p>
    <w:p w14:paraId="197370A9"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lastRenderedPageBreak/>
        <w:t xml:space="preserve">Quản lý sức khỏe động vật nuôi: </w:t>
      </w:r>
      <w:r w:rsidRPr="00533144">
        <w:rPr>
          <w:rFonts w:eastAsia="Calibri" w:cs="Times New Roman"/>
          <w:kern w:val="0"/>
          <w:sz w:val="28"/>
          <w:szCs w:val="28"/>
          <w14:ligatures w14:val="none"/>
        </w:rPr>
        <w:t>mục đích của hoạt động này nhằm đảm bảo sức khỏe động vật thủy sản ương, nuôi được duy trì ở mức tốt nhất để có sức đề kháng với bệnh. Các biện pháp áp dụng đảm bảo cho động vật nuôi không bị stress trong quá trình nuôi; duy trì mật độ nuôi thích hợp; duy trì chất lượng nước phù hợp với đối tượng nuôi; cung cấp thức ăn thích hợp về kích cỡ và hàm lượng dinh dưỡng theo từng giai đoạn phát triển của động vật nuôi; hạn chế tối đa hoạt động kéo lưới đánh bắt và vận chuyển động vật nuôi giữa các ao nếu không cần thiết; theo dõi hàng ngày tình trạng sức khỏe động vật nuôi; vớt bỏ động vật thủy sản chết (nếu có) khỏi ao nuôi càng sớm càng tốt; và có nhật ký ghi chép lại hoạt động quản lý sức khỏe động vật nuôi.</w:t>
      </w:r>
    </w:p>
    <w:p w14:paraId="7CB5BB70"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t xml:space="preserve">Kiểm soát việc vận chuyển động vật nuôi vào và ra khỏi trang trại: </w:t>
      </w:r>
      <w:r w:rsidRPr="00533144">
        <w:rPr>
          <w:rFonts w:eastAsia="Calibri" w:cs="Times New Roman"/>
          <w:kern w:val="0"/>
          <w:sz w:val="28"/>
          <w:szCs w:val="28"/>
          <w14:ligatures w14:val="none"/>
        </w:rPr>
        <w:t>mục đích của hoạt động này nhằm giảm thiểu việc đưa mầm bệnh vào trang trại cũng như việc phát tán mầm bệnh từ trang trại ra ngoài qua động vật nuôi. Các biện pháp kiểm soát bao gồm nguồn con giống đưa vào trang trại cần phải được kiểm dịch, đảm bảo không mang mầm bệnh nguy hiểm, nếu cần thiết phải tiến hành cách li đối với nguồn giống không rõ tình trạng sức khỏe (vd. đàn tôm, cá bố mẹ); vận chuyển động vật nuôi ra khỏi trang trại cũng phải đảm bảo theo quy định không vận chuyển động vật đang bị bệnh hoặc nghi ngờ bị bệnh.</w:t>
      </w:r>
    </w:p>
    <w:p w14:paraId="62E4B2CB"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t>Kiểm soát nguồn nước:</w:t>
      </w:r>
      <w:r w:rsidRPr="00533144">
        <w:rPr>
          <w:rFonts w:eastAsia="Calibri" w:cs="Times New Roman"/>
          <w:kern w:val="0"/>
          <w:sz w:val="28"/>
          <w:szCs w:val="28"/>
          <w14:ligatures w14:val="none"/>
        </w:rPr>
        <w:t xml:space="preserve"> mục đích của hoạt động này nhằm giảm thiểu việc đưa mầm bệnh vào trang trại nuôi cũng như làm phát tán mầm bệnh ra bên ngoài trang trại thông qua nguồn nước. Các biện pháp kiểm soát nguồn nước bao gồm: việc lắp đặt riêng rẽ đường lấy nước vào và đường thải nước ra để tránh nhiễm chéo; nước lấy vào trang trại cần được lọc qua lưới lọc để loại bỏ sinh vật mang mầm bệnh và được xử lý để loại bỏ mầm bệnh; giám sát chất lượng nước thường xuyên để đảm bảo phù hợp cho đối tượng nuôi. Đối với hoạt động nuôi trồng thủy sản trong hệ thống mở, rất khó để kiểm soát các mối nguy từ nguồn nước, do vậy, biện pháp an toàn sinh học trong những trường hợp này cần tập trung vào các mối nguy khác có thể kiểm soát trong kế hoạch an toàn sinh học thay vì tập trung vào việc kiểm soát nguồn nước.</w:t>
      </w:r>
    </w:p>
    <w:p w14:paraId="7AAC005E"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t xml:space="preserve">Quản lý thức ăn và cách cho ăn: </w:t>
      </w:r>
      <w:r w:rsidRPr="00533144">
        <w:rPr>
          <w:rFonts w:eastAsia="Calibri" w:cs="Times New Roman"/>
          <w:kern w:val="0"/>
          <w:sz w:val="28"/>
          <w:szCs w:val="28"/>
          <w14:ligatures w14:val="none"/>
        </w:rPr>
        <w:t>mục đích của việc kiểm soát mối nguy này nhằm đảm bảo động vật nuôi được cung cấp đủ dinh dưỡng, đồng thời thức ăn không là nguồn lây lan mầm bệnh và không là nguồn dinh dưỡng cho tác nhân gây bệnh do dư thừa. Các biện pháp kiểm soát bao gồm: thức ăn được đóng gói đúng quy cách, còn thời gian sử dụng và được bảo quản đúng cách, tránh ẩm mốc; thức ăn sử dụng phù hợp về kích cỡ và số lượng đối với từng giai đoạn phát triển của đối tượng nuôi; trường hợp phải sử dụng thức ăn tươi sống, cần đảm bảo chúng được kiểm tra, xử lý không nhiễm mầm bệnh.</w:t>
      </w:r>
    </w:p>
    <w:p w14:paraId="33970232"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t>Kiểm soát mối nguy từ dụng cụ đánh bắt, cho ăn và phương tiện vận chuyển:</w:t>
      </w:r>
      <w:r w:rsidRPr="00533144">
        <w:rPr>
          <w:rFonts w:eastAsia="Calibri" w:cs="Times New Roman"/>
          <w:kern w:val="0"/>
          <w:sz w:val="28"/>
          <w:szCs w:val="28"/>
          <w14:ligatures w14:val="none"/>
        </w:rPr>
        <w:t xml:space="preserve"> mục đích của việc kiểm soát mối nguy này nhằm loại bỏ việc phát tán </w:t>
      </w:r>
      <w:r w:rsidRPr="00533144">
        <w:rPr>
          <w:rFonts w:eastAsia="Calibri" w:cs="Times New Roman"/>
          <w:kern w:val="0"/>
          <w:sz w:val="28"/>
          <w:szCs w:val="28"/>
          <w14:ligatures w14:val="none"/>
        </w:rPr>
        <w:lastRenderedPageBreak/>
        <w:t>mầm bệnh từ bên ngoài vào trang trại và từ trang trại ra bên ngoài thông qua các phương tiện vận chuyển, đồng thời giảm thiểu sự lây lan mầm bệnh trong trang trại thông qua dụng cụ đánh bắt, cho ăn. Tất cả các phương tiện vận chuyển cần phải được khử trùng với hóa chất thích hợp khi vào và ra khỏi trang trại; hạn chế việc sử dụng chung các dụng cụ đánh bắt, cho ăn giữa các ao/bể ương nuôi trong cùng trang trại, trong trường hợp dùng chung, chúng cần được khử trùng với hóa chất thích hợp.</w:t>
      </w:r>
    </w:p>
    <w:p w14:paraId="433C0F4E"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t>Quản lý con người và động vật hoang dã:</w:t>
      </w:r>
      <w:r w:rsidRPr="00533144">
        <w:rPr>
          <w:rFonts w:eastAsia="Calibri" w:cs="Times New Roman"/>
          <w:kern w:val="0"/>
          <w:sz w:val="28"/>
          <w:szCs w:val="28"/>
          <w14:ligatures w14:val="none"/>
        </w:rPr>
        <w:t xml:space="preserve"> mục đích của việc kiểm soát mối nguy này nhằm loại bỏ sự lây lan mầm bệnh do những người từ bên ngoài mang vào trang trại, do động vật hoang dã và từ cán bộ làm việc trong trang trại. Tất cả cán bộ, nhân viên cần phải hiểu và được đào tạo để nắm được các hoạt động an toàn sinh học trong trang trại; khách đến trang trại cần được khử trùng hợp lý và tuân thủ theo hướng dẫn của trang trại; hạn chế khách và cán bộ không phận sự đến gần những khu vực nhạy cảm như: khu bố mẹ, khu sản xuất, khu cách ly; ghi chép thông tin khách đến trang trại làm việc; trang trại có hàng rào bảo vệ, tách biệt với hoạt động bên ngoài để ngăn chặn động vật nuôi và hoang dã.</w:t>
      </w:r>
    </w:p>
    <w:p w14:paraId="722406B0"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t>Quản lý nguồn thải:</w:t>
      </w:r>
      <w:r w:rsidRPr="00533144">
        <w:rPr>
          <w:rFonts w:eastAsia="Calibri" w:cs="Times New Roman"/>
          <w:kern w:val="0"/>
          <w:sz w:val="28"/>
          <w:szCs w:val="28"/>
          <w14:ligatures w14:val="none"/>
        </w:rPr>
        <w:t xml:space="preserve"> mục đích của việc kiểm soát mối nguy này nhằm đảm bảo các nguồn thải từ trang trại được bảo quản, xử lý đúng quy định, hạn chế tối đa sự phát tán mầm bệnh nguy hiểm ra bên ngoài. Tất cả các chất thải có nguy cơ chứa mầm bệnh (động vật thủy sản chết, nguồn nước thải, chất bùn thải) cần được xử lý bằng các biện pháp thích hợp như xử lý nhiệt (động vật thủy sản chết) hoặc xử lý hóa học trước khi thải ra bên ngoài; động vật thủy sản chết cần được vớt khỏi hệ thống nuôi càng sớm càng tốt ngay khi phát hiện để hạn chế sự phát tán mầm bệnh vào môi trường nuôi và hạn chế sự thu hút động vật hoang dã đến ăn xác chết.</w:t>
      </w:r>
    </w:p>
    <w:p w14:paraId="6B218898"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t>Kiểm soát khâu cải tạo ao:</w:t>
      </w:r>
      <w:r w:rsidRPr="00533144">
        <w:rPr>
          <w:rFonts w:eastAsia="Calibri" w:cs="Times New Roman"/>
          <w:kern w:val="0"/>
          <w:sz w:val="28"/>
          <w:szCs w:val="28"/>
          <w14:ligatures w14:val="none"/>
        </w:rPr>
        <w:t xml:space="preserve"> mục đích của việc này nhằm loại bỏ các mầm bệnh tồn tại sẵn trong hệ thống nuôi sau mỗi vụ nuôi và loại bỏ sinh vật mang mầm bệnh. Sau mỗi vụ nuôi, hệ thống ao hồ nuôi cần được cải tạo để loại bỏ bùn đáy, lấp các hang hố xung quan bờ ao; xử lý đáy ao bằng hình thức phơi khô và sử dụng hóa chất. Tùy từng trường hợp, có thể phải sử dụng chất diệt tạp để loại bỏ sinh vật mang mầm bệnh và để ao hồ nuôi trống một khoảng thời gian giữa hai vụ nuôi.</w:t>
      </w:r>
    </w:p>
    <w:p w14:paraId="00821666"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i/>
          <w:kern w:val="0"/>
          <w:sz w:val="28"/>
          <w:szCs w:val="28"/>
          <w14:ligatures w14:val="none"/>
        </w:rPr>
        <w:t>Ghi chép thông tin và kế hoạch dự phòng:</w:t>
      </w:r>
      <w:r w:rsidRPr="00533144">
        <w:rPr>
          <w:rFonts w:eastAsia="Calibri" w:cs="Times New Roman"/>
          <w:kern w:val="0"/>
          <w:sz w:val="28"/>
          <w:szCs w:val="28"/>
          <w14:ligatures w14:val="none"/>
        </w:rPr>
        <w:t xml:space="preserve"> mục đích của việc này nhằm giúp kịp thời khắc phục các sự cố xảy ra đối với trang trại. Việc ghi chép được thực hiện cho toàn bộ các hoạt động kiểm soát mối nguy nêu trên. Một kế hoạch dự phòng khẩn cấp cũng được xây dựng để kịp thời ứng phó đối với các sự cố bất thường như dịch bệnh xuất hiện, thiên tai thảm họa tự nhiên (bão lũ, cháy, động đất, v.v.) góp phần giảm thiểu thiệt hại, đảm bảo điều kiện an toàn cho </w:t>
      </w:r>
      <w:r w:rsidRPr="00533144">
        <w:rPr>
          <w:rFonts w:eastAsia="Calibri" w:cs="Times New Roman"/>
          <w:kern w:val="0"/>
          <w:sz w:val="28"/>
          <w:szCs w:val="28"/>
          <w14:ligatures w14:val="none"/>
        </w:rPr>
        <w:lastRenderedPageBreak/>
        <w:t>người và động vật nuôi trong điều kiện tốt nhất có thể. Các cán bộ, nhân viên làm việc tại trang trại cần thiết phải nắm được kế hoạch dự phòng khẩn cấp này.</w:t>
      </w:r>
    </w:p>
    <w:p w14:paraId="19A1FF2E" w14:textId="77777777" w:rsidR="00533144" w:rsidRPr="00533144" w:rsidRDefault="00533144" w:rsidP="00533144">
      <w:pPr>
        <w:tabs>
          <w:tab w:val="left" w:pos="567"/>
        </w:tabs>
        <w:spacing w:before="60" w:after="60" w:line="240" w:lineRule="auto"/>
        <w:ind w:firstLine="720"/>
        <w:jc w:val="both"/>
        <w:rPr>
          <w:rFonts w:eastAsia="Calibri" w:cs="Times New Roman"/>
          <w:spacing w:val="-2"/>
          <w:kern w:val="0"/>
          <w:sz w:val="28"/>
          <w:szCs w:val="28"/>
          <w14:ligatures w14:val="none"/>
        </w:rPr>
      </w:pPr>
      <w:r w:rsidRPr="00533144">
        <w:rPr>
          <w:rFonts w:eastAsia="Calibri" w:cs="Times New Roman"/>
          <w:spacing w:val="-2"/>
          <w:kern w:val="0"/>
          <w:sz w:val="28"/>
          <w:szCs w:val="28"/>
          <w14:ligatures w14:val="none"/>
        </w:rPr>
        <w:t xml:space="preserve">Ngày nay, nuôi trồng thủy sản ngày càng phát triển theo hướng áp dụng công nghệ cao, hiện đại và nuôi theo hình thức thâm canh, siêu thâm cạnh. Đồng thời ảnh hưởng cực đoan của biến đổi khí hậu ngày càng rõ nét, dẫn tới các vấn đề về dịch bệnh và ô nhiễm môi trường ngày càng trở nên nghiêm trọng. Trong bối cảnh này, an toàn sinh học trở thành giải pháp toàn diện, đồng bộ nhằm hạn chế tối đa những tác động tiêu cực, góp phần phát triển ổn định và bền vững ngành nuôi trồng thủy sản. Mặc dù, ngày càng nhiều mô hình an toàn sinh học đã và đang được phát triển và nhân rộng trong nuôi trồng thủy sản từ trang trại sản xuất giống đến trang trại nuôi thương phẩm, song thực trạng hiện nay việc áp dụng ATSHTNTTS ở nước ta còn nhiều khó khăn, bất cập và hạn chế. Nuôi trồng thủy sản ở nước ta chủ yếu là mô hình nuôi nhỏ lẻ (điển hình như mô hình nuôi các đối tượng thủy sản truyền thống), mô hình nuôi ghép nhiều đối tượng, v.v., dẫn đến khó kiểm soát các mối nguy. Nhiều trường hợp, vì vấn đề lợi nhuận, nhiều trang trại nuôi các đối tượng thủy sản theo hình thức thâm canh và siêu thâm canh nhưng lại không bố trí hệ thống ao chứa/ao lắng để xử lý nguồn nước vào cũng như nguồn nước thải ra từ trang trại, không có hệ thống cấp thoát nước riêng biệt, v.v., dẫn tới việc khó áp dụng đồng bộ các biện pháp an toàn sinh học. Nuôi trồng thủy sản ở nước ta thường hình thành các vùng, các khu vực nuôi tập trung nên việc một hộ nuôi, một trang trại nuôi hay một cơ sở nuôi có biện pháp quản lý và triển khai tốt chương trình an toàn sinh học thì cũng chưa đủ do hoạt động nuôi trồng thủy sản dùng chung nguồn nước. Thêm vào đó, một trang trại nuôi thương phẩm sẽ rất khó để triển khai một chương trình an toàn sinh học toàn diện và hiệu quả nếu không có những cơ sở sản xuất giống đáp ứng điều kiện an toàn sinh học để cung cấp nguồn con giống “sạch”. </w:t>
      </w:r>
    </w:p>
    <w:p w14:paraId="76C73D0F" w14:textId="77777777" w:rsidR="00533144" w:rsidRPr="00533144" w:rsidRDefault="00533144" w:rsidP="00533144">
      <w:pPr>
        <w:tabs>
          <w:tab w:val="left" w:pos="567"/>
        </w:tabs>
        <w:spacing w:before="60" w:after="60" w:line="240" w:lineRule="auto"/>
        <w:ind w:firstLine="720"/>
        <w:jc w:val="both"/>
        <w:rPr>
          <w:rFonts w:eastAsia="Calibri" w:cs="Times New Roman"/>
          <w:kern w:val="0"/>
          <w:sz w:val="28"/>
          <w:szCs w:val="28"/>
          <w14:ligatures w14:val="none"/>
        </w:rPr>
      </w:pPr>
      <w:r w:rsidRPr="00533144">
        <w:rPr>
          <w:rFonts w:eastAsia="Calibri" w:cs="Times New Roman"/>
          <w:kern w:val="0"/>
          <w:sz w:val="28"/>
          <w:szCs w:val="28"/>
          <w14:ligatures w14:val="none"/>
        </w:rPr>
        <w:t>Vấn đề ATSHTNTTS cần được xem xét và giải quyết trong mối quan tâm tổng thể, gắn liền với ý thức cộng đồng. Tùy thuộc vào từng đối tượng nuôi cụ thể và loại hình nuôi cụ thể mà các biện pháp an toàn sinh học cần được xây dựng một cách chi tiết để kiểm soát hiệu quả các mối nguy nêu trên. Đồng thời, cần thiết phải nâng cao nhận thức, hiểu biết của cộng đồng nuôi thủy sản về an toàn sinh học thông qua tập huấn, hội thảo đầu bờ và các mô hình điển hình tiên tiến.</w:t>
      </w:r>
    </w:p>
    <w:p w14:paraId="547E5A60" w14:textId="77777777" w:rsidR="00533144" w:rsidRPr="00533144" w:rsidRDefault="00533144" w:rsidP="00533144">
      <w:pPr>
        <w:tabs>
          <w:tab w:val="left" w:pos="630"/>
        </w:tabs>
        <w:spacing w:before="60" w:after="60" w:line="240" w:lineRule="auto"/>
        <w:ind w:firstLine="720"/>
        <w:jc w:val="right"/>
        <w:rPr>
          <w:rFonts w:eastAsia="Calibri" w:cs="Times New Roman"/>
          <w:b/>
          <w:kern w:val="0"/>
          <w:sz w:val="20"/>
          <w:szCs w:val="20"/>
          <w14:ligatures w14:val="none"/>
        </w:rPr>
      </w:pPr>
      <w:r w:rsidRPr="00533144">
        <w:rPr>
          <w:rFonts w:eastAsia="Calibri" w:cs="Times New Roman"/>
          <w:b/>
          <w:kern w:val="0"/>
          <w:sz w:val="20"/>
          <w:szCs w:val="20"/>
          <w14:ligatures w14:val="none"/>
        </w:rPr>
        <w:t>ĐẶNG THỊ LỤA</w:t>
      </w:r>
    </w:p>
    <w:p w14:paraId="0E5E0918" w14:textId="77777777" w:rsidR="00533144" w:rsidRPr="00533144" w:rsidRDefault="00533144" w:rsidP="00533144">
      <w:pPr>
        <w:spacing w:before="60" w:after="60" w:line="240" w:lineRule="auto"/>
        <w:jc w:val="both"/>
        <w:rPr>
          <w:rFonts w:eastAsia="Calibri" w:cs="Times New Roman"/>
          <w:b/>
          <w:kern w:val="0"/>
          <w:sz w:val="20"/>
          <w:szCs w:val="20"/>
          <w14:ligatures w14:val="none"/>
        </w:rPr>
      </w:pPr>
    </w:p>
    <w:p w14:paraId="488F86A1" w14:textId="77777777" w:rsidR="00533144" w:rsidRPr="00533144" w:rsidRDefault="00533144" w:rsidP="00533144">
      <w:pPr>
        <w:spacing w:before="60" w:after="60" w:line="240" w:lineRule="auto"/>
        <w:jc w:val="both"/>
        <w:rPr>
          <w:rFonts w:eastAsia="Calibri" w:cs="Times New Roman"/>
          <w:b/>
          <w:kern w:val="0"/>
          <w:sz w:val="20"/>
          <w:szCs w:val="20"/>
          <w14:ligatures w14:val="none"/>
        </w:rPr>
      </w:pPr>
      <w:r w:rsidRPr="00533144">
        <w:rPr>
          <w:rFonts w:eastAsia="Calibri" w:cs="Times New Roman"/>
          <w:b/>
          <w:kern w:val="0"/>
          <w:sz w:val="20"/>
          <w:szCs w:val="20"/>
          <w14:ligatures w14:val="none"/>
        </w:rPr>
        <w:t xml:space="preserve">Tài liệu tham khảo: </w:t>
      </w:r>
    </w:p>
    <w:p w14:paraId="452CAF12" w14:textId="77777777" w:rsidR="00533144" w:rsidRPr="00533144" w:rsidRDefault="00533144" w:rsidP="00533144">
      <w:pPr>
        <w:tabs>
          <w:tab w:val="left" w:pos="630"/>
        </w:tabs>
        <w:spacing w:before="60" w:after="60" w:line="240" w:lineRule="auto"/>
        <w:ind w:left="284" w:hanging="284"/>
        <w:jc w:val="both"/>
        <w:rPr>
          <w:rFonts w:eastAsia="Calibri" w:cs="Times New Roman"/>
          <w:kern w:val="0"/>
          <w:sz w:val="20"/>
          <w:szCs w:val="20"/>
          <w14:ligatures w14:val="none"/>
        </w:rPr>
      </w:pPr>
      <w:r w:rsidRPr="00533144">
        <w:rPr>
          <w:rFonts w:eastAsia="Calibri" w:cs="Times New Roman"/>
          <w:kern w:val="0"/>
          <w:sz w:val="20"/>
          <w:szCs w:val="20"/>
          <w14:ligatures w14:val="none"/>
        </w:rPr>
        <w:t xml:space="preserve">1. Bùi Quang Tề và Đặng Thị Lụa, </w:t>
      </w:r>
      <w:r w:rsidRPr="00533144">
        <w:rPr>
          <w:rFonts w:eastAsia="Calibri" w:cs="Times New Roman"/>
          <w:i/>
          <w:kern w:val="0"/>
          <w:sz w:val="20"/>
          <w:szCs w:val="20"/>
          <w14:ligatures w14:val="none"/>
        </w:rPr>
        <w:t>An toàn sinh học trong trang trại nuôi cá biển quy mô công nghiệp</w:t>
      </w:r>
      <w:r w:rsidRPr="00533144">
        <w:rPr>
          <w:rFonts w:eastAsia="Calibri" w:cs="Times New Roman"/>
          <w:kern w:val="0"/>
          <w:sz w:val="20"/>
          <w:szCs w:val="20"/>
          <w14:ligatures w14:val="none"/>
        </w:rPr>
        <w:t xml:space="preserve">, Tài liệu tập huấn dành cho công nhân kỹ thuật trong trang trại nuôi cá biển quy mô công nghiệp, Dự án nâng cao </w:t>
      </w:r>
      <w:r w:rsidRPr="00533144">
        <w:rPr>
          <w:rFonts w:eastAsia="Calibri" w:cs="Times New Roman"/>
          <w:kern w:val="0"/>
          <w:sz w:val="20"/>
          <w:szCs w:val="20"/>
          <w14:ligatures w14:val="none"/>
        </w:rPr>
        <w:lastRenderedPageBreak/>
        <w:t>năng lực nghiên cứu, đào tạo và khuyến ngư cho Viện Nghiên cứu nuôi trồng thủy sản I, Pha 3, Dự án nâng cao năng lực nghề nuôi cá biển Việt Nam (Dự án SRV: 11/0027), 2013.</w:t>
      </w:r>
    </w:p>
    <w:p w14:paraId="5E45248C" w14:textId="77777777" w:rsidR="00533144" w:rsidRPr="00533144" w:rsidRDefault="00533144" w:rsidP="00533144">
      <w:pPr>
        <w:tabs>
          <w:tab w:val="left" w:pos="630"/>
        </w:tabs>
        <w:spacing w:before="60" w:after="60" w:line="240" w:lineRule="auto"/>
        <w:ind w:left="284" w:hanging="284"/>
        <w:jc w:val="both"/>
        <w:rPr>
          <w:rFonts w:eastAsia="Calibri" w:cs="Times New Roman"/>
          <w:kern w:val="0"/>
          <w:sz w:val="20"/>
          <w:szCs w:val="20"/>
          <w14:ligatures w14:val="none"/>
        </w:rPr>
      </w:pPr>
      <w:r w:rsidRPr="00533144">
        <w:rPr>
          <w:rFonts w:eastAsia="Calibri" w:cs="Times New Roman"/>
          <w:kern w:val="0"/>
          <w:sz w:val="20"/>
          <w:szCs w:val="20"/>
          <w14:ligatures w14:val="none"/>
        </w:rPr>
        <w:t xml:space="preserve">2. Bera K.K., Karmakar S., Jana P., Das S., Purkait S., Pal S., and Haque R., </w:t>
      </w:r>
      <w:r w:rsidRPr="00533144">
        <w:rPr>
          <w:rFonts w:eastAsia="Calibri" w:cs="Times New Roman"/>
          <w:i/>
          <w:kern w:val="0"/>
          <w:sz w:val="20"/>
          <w:szCs w:val="20"/>
          <w14:ligatures w14:val="none"/>
        </w:rPr>
        <w:t>Biosecurity in aquaculture: An overview</w:t>
      </w:r>
      <w:r w:rsidRPr="00533144">
        <w:rPr>
          <w:rFonts w:eastAsia="Calibri" w:cs="Times New Roman"/>
          <w:kern w:val="0"/>
          <w:sz w:val="20"/>
          <w:szCs w:val="20"/>
          <w14:ligatures w14:val="none"/>
        </w:rPr>
        <w:t xml:space="preserve">, India’s national monthly on aquaculture. Aqua international, 2018, pp. 42 - 46. </w:t>
      </w:r>
    </w:p>
    <w:p w14:paraId="1D97F4FD" w14:textId="77777777" w:rsidR="00533144" w:rsidRPr="00533144" w:rsidRDefault="00533144" w:rsidP="00533144">
      <w:pPr>
        <w:tabs>
          <w:tab w:val="left" w:pos="630"/>
        </w:tabs>
        <w:spacing w:before="60" w:after="60" w:line="240" w:lineRule="auto"/>
        <w:ind w:left="284" w:hanging="284"/>
        <w:jc w:val="both"/>
        <w:rPr>
          <w:rFonts w:eastAsia="Calibri" w:cs="Times New Roman"/>
          <w:kern w:val="0"/>
          <w:sz w:val="20"/>
          <w:szCs w:val="20"/>
          <w14:ligatures w14:val="none"/>
        </w:rPr>
      </w:pPr>
      <w:r w:rsidRPr="00533144">
        <w:rPr>
          <w:rFonts w:eastAsia="Calibri" w:cs="Times New Roman"/>
          <w:kern w:val="0"/>
          <w:sz w:val="20"/>
          <w:szCs w:val="20"/>
          <w14:ligatures w14:val="none"/>
        </w:rPr>
        <w:t xml:space="preserve">3. Bondad-Reantaso M., and Yamamoto K., </w:t>
      </w:r>
      <w:r w:rsidRPr="00533144">
        <w:rPr>
          <w:rFonts w:eastAsia="Calibri" w:cs="Times New Roman"/>
          <w:i/>
          <w:kern w:val="0"/>
          <w:sz w:val="20"/>
          <w:szCs w:val="20"/>
          <w14:ligatures w14:val="none"/>
        </w:rPr>
        <w:t>Biosecurity and aquatic animal health management</w:t>
      </w:r>
      <w:r w:rsidRPr="00533144">
        <w:rPr>
          <w:rFonts w:eastAsia="Calibri" w:cs="Times New Roman"/>
          <w:kern w:val="0"/>
          <w:sz w:val="20"/>
          <w:szCs w:val="20"/>
          <w14:ligatures w14:val="none"/>
        </w:rPr>
        <w:t>, In Woynarovivh et al (Eds)</w:t>
      </w:r>
      <w:r w:rsidRPr="00533144">
        <w:rPr>
          <w:rFonts w:eastAsia="Calibri" w:cs="Times New Roman"/>
          <w:i/>
          <w:kern w:val="0"/>
          <w:sz w:val="20"/>
          <w:szCs w:val="20"/>
          <w14:ligatures w14:val="none"/>
        </w:rPr>
        <w:t>:</w:t>
      </w:r>
      <w:r w:rsidRPr="00533144">
        <w:rPr>
          <w:rFonts w:eastAsia="Calibri" w:cs="Times New Roman"/>
          <w:kern w:val="0"/>
          <w:sz w:val="20"/>
          <w:szCs w:val="20"/>
          <w14:ligatures w14:val="none"/>
        </w:rPr>
        <w:t xml:space="preserve"> Better management practices for carp production in central and eastern Europe, the Caucasus and central asia, FAO fisheries and aquaculture technical paper, ISBN 978-92-5-107030-7, 2011.</w:t>
      </w:r>
    </w:p>
    <w:p w14:paraId="699E577D" w14:textId="77777777" w:rsidR="00533144" w:rsidRPr="00533144" w:rsidRDefault="00533144" w:rsidP="00533144">
      <w:pPr>
        <w:tabs>
          <w:tab w:val="left" w:pos="630"/>
        </w:tabs>
        <w:spacing w:before="60" w:after="60" w:line="240" w:lineRule="auto"/>
        <w:ind w:left="284" w:hanging="284"/>
        <w:jc w:val="both"/>
        <w:rPr>
          <w:rFonts w:eastAsia="Calibri" w:cs="Times New Roman"/>
          <w:kern w:val="0"/>
          <w:sz w:val="20"/>
          <w:szCs w:val="20"/>
          <w14:ligatures w14:val="none"/>
        </w:rPr>
      </w:pPr>
      <w:r w:rsidRPr="00533144">
        <w:rPr>
          <w:rFonts w:eastAsia="Calibri" w:cs="Times New Roman"/>
          <w:kern w:val="0"/>
          <w:sz w:val="20"/>
          <w:szCs w:val="20"/>
          <w14:ligatures w14:val="none"/>
        </w:rPr>
        <w:t xml:space="preserve">4. Ministry for Primary Industries, </w:t>
      </w:r>
      <w:r w:rsidRPr="00533144">
        <w:rPr>
          <w:rFonts w:eastAsia="Calibri" w:cs="Times New Roman"/>
          <w:i/>
          <w:kern w:val="0"/>
          <w:sz w:val="20"/>
          <w:szCs w:val="20"/>
          <w14:ligatures w14:val="none"/>
        </w:rPr>
        <w:t>Aquaculture biosecurity handbook: Minimising on-farm biosecurity risk</w:t>
      </w:r>
      <w:r w:rsidRPr="00533144">
        <w:rPr>
          <w:rFonts w:eastAsia="Calibri" w:cs="Times New Roman"/>
          <w:kern w:val="0"/>
          <w:sz w:val="20"/>
          <w:szCs w:val="20"/>
          <w14:ligatures w14:val="none"/>
        </w:rPr>
        <w:t>. ISBN 978-1-77665-335-5, 2016.</w:t>
      </w:r>
    </w:p>
    <w:p w14:paraId="7A8F3E7B" w14:textId="77777777" w:rsidR="00533144" w:rsidRPr="00533144" w:rsidRDefault="00533144" w:rsidP="00533144">
      <w:pPr>
        <w:tabs>
          <w:tab w:val="left" w:pos="630"/>
        </w:tabs>
        <w:spacing w:before="60" w:after="60" w:line="240" w:lineRule="auto"/>
        <w:ind w:left="284" w:hanging="284"/>
        <w:jc w:val="both"/>
        <w:rPr>
          <w:rFonts w:eastAsia="Calibri" w:cs="Times New Roman"/>
          <w:kern w:val="0"/>
          <w:sz w:val="20"/>
          <w:szCs w:val="20"/>
          <w14:ligatures w14:val="none"/>
        </w:rPr>
      </w:pPr>
      <w:r w:rsidRPr="00533144">
        <w:rPr>
          <w:rFonts w:eastAsia="Calibri" w:cs="Times New Roman"/>
          <w:kern w:val="0"/>
          <w:sz w:val="20"/>
          <w:szCs w:val="20"/>
          <w14:ligatures w14:val="none"/>
        </w:rPr>
        <w:t xml:space="preserve">5. Pruder G.D., </w:t>
      </w:r>
      <w:r w:rsidRPr="00533144">
        <w:rPr>
          <w:rFonts w:eastAsia="Calibri" w:cs="Times New Roman"/>
          <w:i/>
          <w:kern w:val="0"/>
          <w:sz w:val="20"/>
          <w:szCs w:val="20"/>
          <w14:ligatures w14:val="none"/>
        </w:rPr>
        <w:t>Biosecurity: application in aquaculture</w:t>
      </w:r>
      <w:r w:rsidRPr="00533144">
        <w:rPr>
          <w:rFonts w:eastAsia="Calibri" w:cs="Times New Roman"/>
          <w:kern w:val="0"/>
          <w:sz w:val="20"/>
          <w:szCs w:val="20"/>
          <w14:ligatures w14:val="none"/>
        </w:rPr>
        <w:t>, Aquacultural engineering, 32(1), 2004, pp. 3 - 10.</w:t>
      </w:r>
    </w:p>
    <w:p w14:paraId="645D0059" w14:textId="77777777" w:rsidR="00533144" w:rsidRPr="00533144" w:rsidRDefault="00533144" w:rsidP="00533144">
      <w:pPr>
        <w:tabs>
          <w:tab w:val="left" w:pos="630"/>
        </w:tabs>
        <w:spacing w:before="60" w:after="60" w:line="240" w:lineRule="auto"/>
        <w:ind w:left="284" w:hanging="284"/>
        <w:jc w:val="both"/>
        <w:rPr>
          <w:rFonts w:eastAsia="Calibri" w:cs="Times New Roman"/>
          <w:kern w:val="0"/>
          <w:sz w:val="20"/>
          <w:szCs w:val="20"/>
          <w14:ligatures w14:val="none"/>
        </w:rPr>
      </w:pPr>
      <w:r w:rsidRPr="00533144">
        <w:rPr>
          <w:rFonts w:eastAsia="Calibri" w:cs="Times New Roman"/>
          <w:kern w:val="0"/>
          <w:sz w:val="20"/>
          <w:szCs w:val="20"/>
          <w14:ligatures w14:val="none"/>
        </w:rPr>
        <w:t xml:space="preserve">6. Scarfe A.D., Lee C.S., and O’Bryen P.J., </w:t>
      </w:r>
      <w:r w:rsidRPr="00533144">
        <w:rPr>
          <w:rFonts w:eastAsia="Calibri" w:cs="Times New Roman"/>
          <w:i/>
          <w:kern w:val="0"/>
          <w:sz w:val="20"/>
          <w:szCs w:val="20"/>
          <w14:ligatures w14:val="none"/>
        </w:rPr>
        <w:t>Aquaculture biosecurity: Prevention, control, and eradication of aquatic animal disease</w:t>
      </w:r>
      <w:r w:rsidRPr="00533144">
        <w:rPr>
          <w:rFonts w:eastAsia="Calibri" w:cs="Times New Roman"/>
          <w:kern w:val="0"/>
          <w:sz w:val="20"/>
          <w:szCs w:val="20"/>
          <w14:ligatures w14:val="none"/>
        </w:rPr>
        <w:t>, Publisher: Wiley-Blackwell, 1</w:t>
      </w:r>
      <w:r w:rsidRPr="00533144">
        <w:rPr>
          <w:rFonts w:eastAsia="Calibri" w:cs="Times New Roman"/>
          <w:kern w:val="0"/>
          <w:sz w:val="20"/>
          <w:szCs w:val="20"/>
          <w:vertAlign w:val="superscript"/>
          <w14:ligatures w14:val="none"/>
        </w:rPr>
        <w:t>st</w:t>
      </w:r>
      <w:r w:rsidRPr="00533144">
        <w:rPr>
          <w:rFonts w:eastAsia="Calibri" w:cs="Times New Roman"/>
          <w:kern w:val="0"/>
          <w:sz w:val="20"/>
          <w:szCs w:val="20"/>
          <w14:ligatures w14:val="none"/>
        </w:rPr>
        <w:t xml:space="preserve"> Edition: 196 pages. ISBN-13: 978-0813805399, 2008.</w:t>
      </w:r>
    </w:p>
    <w:p w14:paraId="19515C8C"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035E"/>
    <w:multiLevelType w:val="hybridMultilevel"/>
    <w:tmpl w:val="A5F0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52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44"/>
    <w:rsid w:val="00060052"/>
    <w:rsid w:val="0014220F"/>
    <w:rsid w:val="002B1871"/>
    <w:rsid w:val="002F0A7D"/>
    <w:rsid w:val="00533144"/>
    <w:rsid w:val="00587EC0"/>
    <w:rsid w:val="0070421C"/>
    <w:rsid w:val="0082578F"/>
    <w:rsid w:val="0098269E"/>
    <w:rsid w:val="00B264F8"/>
    <w:rsid w:val="00BF05C2"/>
    <w:rsid w:val="00EF5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259A"/>
  <w15:chartTrackingRefBased/>
  <w15:docId w15:val="{562BC2FF-A150-424F-826F-B3108AB2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5331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331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314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3314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3314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331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31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31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31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14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31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314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314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3314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331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31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31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31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3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1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1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3144"/>
    <w:pPr>
      <w:spacing w:before="160"/>
      <w:jc w:val="center"/>
    </w:pPr>
    <w:rPr>
      <w:i/>
      <w:iCs/>
      <w:color w:val="404040" w:themeColor="text1" w:themeTint="BF"/>
    </w:rPr>
  </w:style>
  <w:style w:type="character" w:customStyle="1" w:styleId="QuoteChar">
    <w:name w:val="Quote Char"/>
    <w:basedOn w:val="DefaultParagraphFont"/>
    <w:link w:val="Quote"/>
    <w:uiPriority w:val="29"/>
    <w:rsid w:val="00533144"/>
    <w:rPr>
      <w:i/>
      <w:iCs/>
      <w:color w:val="404040" w:themeColor="text1" w:themeTint="BF"/>
    </w:rPr>
  </w:style>
  <w:style w:type="paragraph" w:styleId="ListParagraph">
    <w:name w:val="List Paragraph"/>
    <w:basedOn w:val="Normal"/>
    <w:uiPriority w:val="34"/>
    <w:qFormat/>
    <w:rsid w:val="00533144"/>
    <w:pPr>
      <w:ind w:left="720"/>
      <w:contextualSpacing/>
    </w:pPr>
  </w:style>
  <w:style w:type="character" w:styleId="IntenseEmphasis">
    <w:name w:val="Intense Emphasis"/>
    <w:basedOn w:val="DefaultParagraphFont"/>
    <w:uiPriority w:val="21"/>
    <w:qFormat/>
    <w:rsid w:val="00533144"/>
    <w:rPr>
      <w:i/>
      <w:iCs/>
      <w:color w:val="2E74B5" w:themeColor="accent1" w:themeShade="BF"/>
    </w:rPr>
  </w:style>
  <w:style w:type="paragraph" w:styleId="IntenseQuote">
    <w:name w:val="Intense Quote"/>
    <w:basedOn w:val="Normal"/>
    <w:next w:val="Normal"/>
    <w:link w:val="IntenseQuoteChar"/>
    <w:uiPriority w:val="30"/>
    <w:qFormat/>
    <w:rsid w:val="005331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33144"/>
    <w:rPr>
      <w:i/>
      <w:iCs/>
      <w:color w:val="2E74B5" w:themeColor="accent1" w:themeShade="BF"/>
    </w:rPr>
  </w:style>
  <w:style w:type="character" w:styleId="IntenseReference">
    <w:name w:val="Intense Reference"/>
    <w:basedOn w:val="DefaultParagraphFont"/>
    <w:uiPriority w:val="32"/>
    <w:qFormat/>
    <w:rsid w:val="0053314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1610</Words>
  <Characters>9181</Characters>
  <Application>Microsoft Office Word</Application>
  <DocSecurity>0</DocSecurity>
  <Lines>76</Lines>
  <Paragraphs>21</Paragraphs>
  <ScaleCrop>false</ScaleCrop>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2025-12-05T01:44:00Z</dcterms:created>
  <dcterms:modified xsi:type="dcterms:W3CDTF">2025-12-05T01:45:00Z</dcterms:modified>
</cp:coreProperties>
</file>